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59300" w14:textId="77777777" w:rsidR="007661EA" w:rsidRDefault="007661EA" w:rsidP="007661EA">
      <w:pPr>
        <w:jc w:val="center"/>
        <w:rPr>
          <w:rFonts w:cs="Arial"/>
        </w:rPr>
      </w:pPr>
    </w:p>
    <w:p w14:paraId="68F1F1C7" w14:textId="77777777" w:rsidR="007661EA" w:rsidRDefault="007661EA" w:rsidP="007661EA">
      <w:pPr>
        <w:jc w:val="center"/>
        <w:rPr>
          <w:rFonts w:cs="Arial"/>
        </w:rPr>
      </w:pPr>
    </w:p>
    <w:p w14:paraId="5B24C026" w14:textId="78EFCC7B" w:rsidR="00A27781" w:rsidRPr="007661EA" w:rsidRDefault="007661EA" w:rsidP="007661EA">
      <w:pPr>
        <w:jc w:val="center"/>
        <w:rPr>
          <w:rFonts w:cs="Arial"/>
          <w:b/>
        </w:rPr>
      </w:pPr>
      <w:r w:rsidRPr="007661EA">
        <w:rPr>
          <w:rFonts w:cs="Arial"/>
          <w:b/>
        </w:rPr>
        <w:t xml:space="preserve">ZAŁĄCZNIK DO </w:t>
      </w:r>
      <w:r w:rsidR="000A5BFA">
        <w:rPr>
          <w:rFonts w:cs="Arial"/>
          <w:b/>
        </w:rPr>
        <w:t>PFU</w:t>
      </w:r>
    </w:p>
    <w:p w14:paraId="2BEC4C3F" w14:textId="24D54B57" w:rsidR="003151AA" w:rsidRDefault="003151AA" w:rsidP="007661EA">
      <w:pPr>
        <w:jc w:val="center"/>
        <w:rPr>
          <w:rFonts w:cs="Arial"/>
        </w:rPr>
      </w:pPr>
    </w:p>
    <w:p w14:paraId="25B81F99" w14:textId="23A10601" w:rsidR="007661EA" w:rsidRDefault="007661EA" w:rsidP="007661EA">
      <w:pPr>
        <w:jc w:val="center"/>
        <w:rPr>
          <w:rFonts w:cs="Arial"/>
        </w:rPr>
      </w:pPr>
    </w:p>
    <w:p w14:paraId="73700A89" w14:textId="2C511020" w:rsidR="007661EA" w:rsidRDefault="007661EA" w:rsidP="007661EA">
      <w:pPr>
        <w:jc w:val="center"/>
        <w:rPr>
          <w:rFonts w:cs="Arial"/>
        </w:rPr>
      </w:pPr>
    </w:p>
    <w:p w14:paraId="3CE453E6" w14:textId="1E7361D8" w:rsidR="007661EA" w:rsidRDefault="007661EA" w:rsidP="007661EA">
      <w:pPr>
        <w:jc w:val="center"/>
        <w:rPr>
          <w:rFonts w:cs="Arial"/>
        </w:rPr>
      </w:pPr>
    </w:p>
    <w:p w14:paraId="4B7D534A" w14:textId="77777777" w:rsidR="007661EA" w:rsidRPr="00A1498E" w:rsidRDefault="007661EA" w:rsidP="007661EA">
      <w:pPr>
        <w:jc w:val="center"/>
        <w:rPr>
          <w:rFonts w:cs="Arial"/>
        </w:rPr>
      </w:pPr>
    </w:p>
    <w:p w14:paraId="2335C995" w14:textId="1A102129" w:rsidR="003151AA" w:rsidRPr="00A1498E" w:rsidRDefault="007661EA" w:rsidP="007661EA">
      <w:pPr>
        <w:jc w:val="center"/>
        <w:rPr>
          <w:rFonts w:cs="Arial"/>
          <w:b/>
        </w:rPr>
      </w:pPr>
      <w:r w:rsidRPr="00A1498E">
        <w:rPr>
          <w:rFonts w:cs="Arial"/>
          <w:b/>
        </w:rPr>
        <w:t>HARMONOGRAM REALIZACJI UMOWY (HRU)</w:t>
      </w:r>
    </w:p>
    <w:p w14:paraId="6183118C" w14:textId="77777777" w:rsidR="003151AA" w:rsidRPr="00A1498E" w:rsidRDefault="003151AA" w:rsidP="00A1498E">
      <w:pPr>
        <w:rPr>
          <w:rFonts w:cs="Arial"/>
        </w:rPr>
      </w:pPr>
    </w:p>
    <w:p w14:paraId="5707C912" w14:textId="77777777" w:rsidR="007661EA" w:rsidRDefault="007661EA">
      <w:pPr>
        <w:spacing w:after="160" w:line="259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2C5E2FAC" w14:textId="5F31F1CC" w:rsidR="00A1498E" w:rsidRPr="00F76787" w:rsidRDefault="00722C35" w:rsidP="00A1498E">
      <w:r w:rsidRPr="00AE71E4">
        <w:lastRenderedPageBreak/>
        <w:t>Harmonogram prac należy przedstawić w ofercie</w:t>
      </w:r>
      <w:r w:rsidRPr="00F76787">
        <w:t>, natomiast w</w:t>
      </w:r>
      <w:r w:rsidR="00B130AE" w:rsidRPr="00F76787">
        <w:t xml:space="preserve"> terminie </w:t>
      </w:r>
      <w:r w:rsidR="004363BE" w:rsidRPr="00F76787">
        <w:t>1 miesiąca</w:t>
      </w:r>
      <w:r w:rsidR="007B53A8" w:rsidRPr="00F76787">
        <w:t xml:space="preserve"> </w:t>
      </w:r>
      <w:r w:rsidR="00B130AE" w:rsidRPr="00F76787">
        <w:t>od dnia</w:t>
      </w:r>
      <w:r w:rsidR="00F76787">
        <w:t xml:space="preserve"> </w:t>
      </w:r>
      <w:r w:rsidR="00B130AE" w:rsidRPr="00F76787">
        <w:t>podpisania</w:t>
      </w:r>
      <w:r w:rsidR="00F76787" w:rsidRPr="00F76787">
        <w:t xml:space="preserve"> </w:t>
      </w:r>
      <w:r w:rsidR="00B130AE" w:rsidRPr="00F76787">
        <w:t>umowy</w:t>
      </w:r>
      <w:r w:rsidR="00F76787" w:rsidRPr="00F76787">
        <w:t xml:space="preserve"> </w:t>
      </w:r>
      <w:r w:rsidR="00B130AE" w:rsidRPr="00F76787">
        <w:t>Wykonawca</w:t>
      </w:r>
      <w:r w:rsidR="00F76787" w:rsidRPr="00F76787">
        <w:t xml:space="preserve"> </w:t>
      </w:r>
      <w:r w:rsidR="00B130AE" w:rsidRPr="00F76787">
        <w:t>przekaże</w:t>
      </w:r>
      <w:r w:rsidR="00F76787" w:rsidRPr="00F76787">
        <w:t xml:space="preserve"> </w:t>
      </w:r>
      <w:r w:rsidR="00BC0453" w:rsidRPr="00F76787">
        <w:t>do</w:t>
      </w:r>
      <w:r w:rsidR="00F76787" w:rsidRPr="00F76787">
        <w:t xml:space="preserve"> </w:t>
      </w:r>
      <w:r w:rsidR="00BC0453" w:rsidRPr="00F76787">
        <w:t>uzgodnienia</w:t>
      </w:r>
      <w:r w:rsidR="00F76787">
        <w:t xml:space="preserve"> </w:t>
      </w:r>
      <w:r w:rsidR="00BC0453" w:rsidRPr="00F76787">
        <w:t xml:space="preserve">z </w:t>
      </w:r>
      <w:r w:rsidR="00B130AE" w:rsidRPr="00F76787">
        <w:t>Zamawiając</w:t>
      </w:r>
      <w:r w:rsidR="00250A17" w:rsidRPr="00F76787">
        <w:t xml:space="preserve">ym </w:t>
      </w:r>
      <w:r w:rsidR="007B53A8" w:rsidRPr="00F76787">
        <w:t>HRU</w:t>
      </w:r>
      <w:r w:rsidR="00B130AE" w:rsidRPr="00F76787">
        <w:t>.</w:t>
      </w:r>
      <w:r w:rsidR="00E259D0" w:rsidRPr="00F76787">
        <w:t xml:space="preserve"> </w:t>
      </w:r>
    </w:p>
    <w:p w14:paraId="09518051" w14:textId="1D465373" w:rsidR="00B662BA" w:rsidRDefault="0010517A" w:rsidP="00B662BA">
      <w:pPr>
        <w:rPr>
          <w:rFonts w:cs="Arial"/>
        </w:rPr>
      </w:pPr>
      <w:r w:rsidRPr="0010517A">
        <w:rPr>
          <w:rFonts w:cs="Arial"/>
        </w:rPr>
        <w:t>HRU ma zostać tak opracowany</w:t>
      </w:r>
      <w:r>
        <w:rPr>
          <w:rFonts w:cs="Arial"/>
        </w:rPr>
        <w:t>, aby</w:t>
      </w:r>
      <w:r w:rsidR="00B662BA">
        <w:rPr>
          <w:rFonts w:cs="Arial"/>
        </w:rPr>
        <w:t>:</w:t>
      </w:r>
    </w:p>
    <w:p w14:paraId="35750B7E" w14:textId="70E4B8F9" w:rsidR="003A55F7" w:rsidRPr="00B662BA" w:rsidRDefault="00B662BA" w:rsidP="00B662BA">
      <w:pPr>
        <w:pStyle w:val="Akapitzlist"/>
        <w:numPr>
          <w:ilvl w:val="0"/>
          <w:numId w:val="7"/>
        </w:numPr>
        <w:ind w:left="426" w:hanging="426"/>
      </w:pPr>
      <w:r w:rsidRPr="00B662BA">
        <w:t xml:space="preserve">w całym czasie trwania inwestycji </w:t>
      </w:r>
      <w:r w:rsidR="0010517A" w:rsidRPr="00B662BA">
        <w:t>była możliwość ciągłej pracy</w:t>
      </w:r>
      <w:r w:rsidR="004D5813">
        <w:t xml:space="preserve"> przenośników T-25, T-33 znajdujących się w budynku A-7-4</w:t>
      </w:r>
      <w:r w:rsidR="0010517A" w:rsidRPr="00B662BA">
        <w:t xml:space="preserve"> </w:t>
      </w:r>
      <w:r w:rsidR="004D5813">
        <w:t>,</w:t>
      </w:r>
    </w:p>
    <w:p w14:paraId="0564018C" w14:textId="7DB9E6E1" w:rsidR="00B662BA" w:rsidRDefault="00B662BA" w:rsidP="00B662BA">
      <w:pPr>
        <w:pStyle w:val="Akapitzlist"/>
        <w:numPr>
          <w:ilvl w:val="0"/>
          <w:numId w:val="7"/>
        </w:numPr>
        <w:ind w:left="426" w:hanging="426"/>
      </w:pPr>
      <w:r w:rsidRPr="00B662BA">
        <w:t xml:space="preserve">w całym czasie trwania inwestycji w sposób niezakłócony realizowana była dostawa </w:t>
      </w:r>
      <w:r w:rsidR="004D5813">
        <w:t>paliwa p</w:t>
      </w:r>
      <w:r w:rsidR="00D1148A">
        <w:t>op</w:t>
      </w:r>
      <w:r w:rsidR="004D5813">
        <w:t>rzez przenośniki T-32, T-51, T-52, T-55, T-56</w:t>
      </w:r>
      <w:r w:rsidR="00D1148A">
        <w:t xml:space="preserve"> do istniejących kotłów</w:t>
      </w:r>
      <w:r w:rsidR="004D5813">
        <w:t>.</w:t>
      </w:r>
    </w:p>
    <w:p w14:paraId="2D5B2B5E" w14:textId="77777777" w:rsidR="009C552E" w:rsidRDefault="009C552E" w:rsidP="00B662BA">
      <w:pPr>
        <w:rPr>
          <w:rFonts w:cs="Arial"/>
        </w:rPr>
      </w:pPr>
    </w:p>
    <w:p w14:paraId="12A3CF73" w14:textId="1D55CA0E" w:rsidR="00B662BA" w:rsidRDefault="009C552E" w:rsidP="00B662BA">
      <w:pPr>
        <w:rPr>
          <w:rFonts w:cs="Arial"/>
        </w:rPr>
      </w:pPr>
      <w:r w:rsidRPr="009C552E">
        <w:rPr>
          <w:rFonts w:cs="Arial"/>
        </w:rPr>
        <w:t>Podłączenie Instalacji do istniejącego układu realizowane będzie w okresach wynikających z</w:t>
      </w:r>
      <w:r>
        <w:rPr>
          <w:rFonts w:cs="Arial"/>
        </w:rPr>
        <w:t> </w:t>
      </w:r>
      <w:r w:rsidRPr="009C552E">
        <w:rPr>
          <w:rFonts w:cs="Arial"/>
        </w:rPr>
        <w:t xml:space="preserve">harmonogramu pracy </w:t>
      </w:r>
      <w:r w:rsidR="00C44E31">
        <w:rPr>
          <w:rFonts w:cs="Arial"/>
        </w:rPr>
        <w:t>elektrowni</w:t>
      </w:r>
      <w:r w:rsidRPr="009C552E">
        <w:rPr>
          <w:rFonts w:cs="Arial"/>
        </w:rPr>
        <w:t xml:space="preserve">, przy zapewnieniu ciągłości pracy </w:t>
      </w:r>
      <w:r w:rsidR="00C44E31">
        <w:rPr>
          <w:rFonts w:cs="Arial"/>
        </w:rPr>
        <w:t>elektrowni</w:t>
      </w:r>
      <w:r w:rsidRPr="009C552E">
        <w:rPr>
          <w:rFonts w:cs="Arial"/>
        </w:rPr>
        <w:t>.  W trakcie realizacji inwestycji musi być zapewniona praca istniejących urządzeń produkcyjnych i instalacji powiązanych.</w:t>
      </w:r>
    </w:p>
    <w:p w14:paraId="6EC46B63" w14:textId="77777777" w:rsidR="009C552E" w:rsidRDefault="009C552E" w:rsidP="00A1498E">
      <w:pPr>
        <w:rPr>
          <w:rFonts w:cs="Arial"/>
        </w:rPr>
      </w:pPr>
    </w:p>
    <w:p w14:paraId="501899F4" w14:textId="1D9B6D7F" w:rsidR="00A1498E" w:rsidRPr="00A1498E" w:rsidRDefault="00A1498E" w:rsidP="00A1498E">
      <w:pPr>
        <w:rPr>
          <w:rFonts w:cs="Arial"/>
        </w:rPr>
      </w:pPr>
      <w:r w:rsidRPr="00A1498E">
        <w:rPr>
          <w:rFonts w:cs="Arial"/>
        </w:rPr>
        <w:t>Harmonogram Realizacji Umowy przygotowywany przez Wykonawcę musi:</w:t>
      </w:r>
    </w:p>
    <w:p w14:paraId="04EBA52C" w14:textId="77777777" w:rsidR="00A1498E" w:rsidRPr="00A1498E" w:rsidRDefault="00A1498E" w:rsidP="00A1498E">
      <w:pPr>
        <w:rPr>
          <w:rFonts w:cs="Arial"/>
        </w:rPr>
      </w:pPr>
    </w:p>
    <w:p w14:paraId="5F2C28FA" w14:textId="0889F1AF" w:rsidR="00A1498E" w:rsidRPr="00A1498E" w:rsidRDefault="00A1498E" w:rsidP="00B662BA">
      <w:pPr>
        <w:pStyle w:val="Akapitzlist"/>
        <w:numPr>
          <w:ilvl w:val="0"/>
          <w:numId w:val="11"/>
        </w:numPr>
        <w:ind w:left="426" w:hanging="426"/>
      </w:pPr>
      <w:r>
        <w:t>b</w:t>
      </w:r>
      <w:r w:rsidRPr="00A1498E">
        <w:t xml:space="preserve">yć zaprezentowany w formie wykresu </w:t>
      </w:r>
      <w:proofErr w:type="spellStart"/>
      <w:r w:rsidRPr="00A1498E">
        <w:t>Gantt’a</w:t>
      </w:r>
      <w:proofErr w:type="spellEnd"/>
      <w:r w:rsidRPr="00A1498E">
        <w:t xml:space="preserve"> z pokazanymi połączeniami identyfikującymi i ilustrującymi główne ścieżki logiczne projektu</w:t>
      </w:r>
      <w:r>
        <w:t>,</w:t>
      </w:r>
    </w:p>
    <w:p w14:paraId="22B997F4" w14:textId="6EA986B7" w:rsidR="00A1498E" w:rsidRPr="00A1498E" w:rsidRDefault="00A1498E" w:rsidP="00B662BA">
      <w:pPr>
        <w:pStyle w:val="Akapitzlist"/>
        <w:numPr>
          <w:ilvl w:val="0"/>
          <w:numId w:val="11"/>
        </w:numPr>
        <w:ind w:left="426" w:hanging="426"/>
      </w:pPr>
      <w:r w:rsidRPr="00A1498E">
        <w:t>zawierać wszystkie Etapy Realizacji zgodnie z HRF (w tym zawierać kluczowe Etapy Realizacji wymagane przez Zamawiającego i Etapy Realizacji dodane przez Wykonawcę)</w:t>
      </w:r>
      <w:r>
        <w:t>,</w:t>
      </w:r>
    </w:p>
    <w:p w14:paraId="3E2A6918" w14:textId="3D9415CE" w:rsidR="00A1498E" w:rsidRPr="00A1498E" w:rsidRDefault="00A1498E" w:rsidP="00B662BA">
      <w:pPr>
        <w:pStyle w:val="Akapitzlist"/>
        <w:numPr>
          <w:ilvl w:val="0"/>
          <w:numId w:val="11"/>
        </w:numPr>
        <w:ind w:left="426" w:hanging="426"/>
      </w:pPr>
      <w:r w:rsidRPr="00A1498E">
        <w:t>uwzględniać wymagania Zamawiającego w zakresie struktury</w:t>
      </w:r>
      <w:r>
        <w:t>,</w:t>
      </w:r>
    </w:p>
    <w:p w14:paraId="587FA79C" w14:textId="6594F118" w:rsidR="00A1498E" w:rsidRPr="00A1498E" w:rsidRDefault="00A1498E" w:rsidP="00B662BA">
      <w:pPr>
        <w:pStyle w:val="Akapitzlist"/>
        <w:numPr>
          <w:ilvl w:val="0"/>
          <w:numId w:val="11"/>
        </w:numPr>
        <w:ind w:left="426" w:hanging="426"/>
      </w:pPr>
      <w:r w:rsidRPr="00A1498E">
        <w:t xml:space="preserve">być opracowany w formie umożliwiającej jego rozbudowę i uszczegóławianie w trakcie realizacji </w:t>
      </w:r>
      <w:r w:rsidR="0070646A">
        <w:t>umowy</w:t>
      </w:r>
      <w:r w:rsidRPr="00A1498E">
        <w:t>, w ujęciu co najmniej tygodniowym, począwszy od chwili podpisania Umowy</w:t>
      </w:r>
      <w:r>
        <w:t>,</w:t>
      </w:r>
      <w:r w:rsidR="00556C5B">
        <w:t xml:space="preserve"> aż do momentu wykonania pomiarów Gwarantowanych Parametrów Technicznych, </w:t>
      </w:r>
    </w:p>
    <w:p w14:paraId="2C8FD712" w14:textId="36C156AD" w:rsidR="00A1498E" w:rsidRPr="00A1498E" w:rsidRDefault="00556C5B" w:rsidP="00B662BA">
      <w:pPr>
        <w:pStyle w:val="Akapitzlist"/>
        <w:numPr>
          <w:ilvl w:val="0"/>
          <w:numId w:val="11"/>
        </w:numPr>
        <w:ind w:left="426" w:hanging="426"/>
      </w:pPr>
      <w:r>
        <w:t>b</w:t>
      </w:r>
      <w:r w:rsidR="00A1498E" w:rsidRPr="00A1498E">
        <w:t xml:space="preserve">yć sporządzony w </w:t>
      </w:r>
      <w:r w:rsidR="00A1498E" w:rsidRPr="00CF18CF">
        <w:t>programie Microsoft Project w wersji edytowalnej i w formacie PDF oraz w postaci wydruku,</w:t>
      </w:r>
    </w:p>
    <w:p w14:paraId="18B874A3" w14:textId="77777777" w:rsidR="00556C5B" w:rsidRDefault="00556C5B" w:rsidP="00556C5B"/>
    <w:p w14:paraId="566203D7" w14:textId="033CDC02" w:rsidR="00A1498E" w:rsidRPr="00A1498E" w:rsidRDefault="007B3EA1" w:rsidP="00556C5B">
      <w:r>
        <w:t>K</w:t>
      </w:r>
      <w:r w:rsidR="00A1498E" w:rsidRPr="00A1498E">
        <w:t>alendarz harmonogramu w programie powinien być ustawiony jako praca od poniedziałku do piątku z uwzględnieniem</w:t>
      </w:r>
      <w:r w:rsidR="004D5813">
        <w:t xml:space="preserve"> wszystkich dni </w:t>
      </w:r>
      <w:r w:rsidR="00D1148A">
        <w:t xml:space="preserve">ustawowo </w:t>
      </w:r>
      <w:r w:rsidR="004D5813">
        <w:t>wolnych od pracy</w:t>
      </w:r>
      <w:r w:rsidR="00D1148A">
        <w:t>.</w:t>
      </w:r>
      <w:r w:rsidR="00A1498E" w:rsidRPr="00A1498E">
        <w:t xml:space="preserve"> </w:t>
      </w:r>
    </w:p>
    <w:p w14:paraId="093A334A" w14:textId="77777777" w:rsidR="00A1498E" w:rsidRPr="00A1498E" w:rsidRDefault="00A1498E" w:rsidP="00A1498E"/>
    <w:p w14:paraId="18CE4BBE" w14:textId="4640EF01" w:rsidR="00A1498E" w:rsidRPr="00A1498E" w:rsidRDefault="00A1498E" w:rsidP="00A1498E">
      <w:r w:rsidRPr="00A1498E">
        <w:t>W pionie harmonogram powinien być podzielony na sekcje w celu pokazania przebiegu:</w:t>
      </w:r>
    </w:p>
    <w:p w14:paraId="3D3C71CB" w14:textId="1CD82C1B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p</w:t>
      </w:r>
      <w:r w:rsidR="00A1498E" w:rsidRPr="00A1498E">
        <w:t>odpisania Umowy</w:t>
      </w:r>
      <w:r>
        <w:t>,</w:t>
      </w:r>
    </w:p>
    <w:p w14:paraId="52E6544F" w14:textId="2C35B28C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o</w:t>
      </w:r>
      <w:r w:rsidR="00A1498E" w:rsidRPr="00A1498E">
        <w:t>rganizacji przedsięwzięcia i prac przygotowawczych</w:t>
      </w:r>
      <w:r>
        <w:t xml:space="preserve"> (w tym co najmniej: </w:t>
      </w:r>
      <w:r w:rsidR="00FA5A1E">
        <w:t xml:space="preserve">uzyskanie decyzji administracyjnych pozwalających rozpocząć budowę, </w:t>
      </w:r>
      <w:r>
        <w:t>przejęcie i przygotowanie terenu budowy, przekazanie szczegółowego harmonogramu, przekazanie informacji do Zamawiającego odnośnie zapotrzebowania na media</w:t>
      </w:r>
      <w:r w:rsidR="00FA5A1E">
        <w:t xml:space="preserve"> dla potrzeb budowy</w:t>
      </w:r>
      <w:r w:rsidR="00C44E31">
        <w:t>, szkolenia wprowadzające</w:t>
      </w:r>
      <w:r w:rsidR="00FA5A1E">
        <w:t>),</w:t>
      </w:r>
      <w:r>
        <w:t xml:space="preserve"> </w:t>
      </w:r>
    </w:p>
    <w:p w14:paraId="693D3330" w14:textId="27F274C6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w</w:t>
      </w:r>
      <w:r w:rsidR="00A1498E" w:rsidRPr="00A1498E">
        <w:t>ykonania prac projektowych i dokumentacji jakościowej</w:t>
      </w:r>
      <w:r w:rsidR="00FA5A1E">
        <w:t xml:space="preserve"> ( w tym co najmniej: przekazanie </w:t>
      </w:r>
      <w:r w:rsidR="004363BE">
        <w:t xml:space="preserve">zamiennego </w:t>
      </w:r>
      <w:r w:rsidR="00FA5A1E">
        <w:t>projektu budowlanego</w:t>
      </w:r>
      <w:r w:rsidR="004363BE">
        <w:t xml:space="preserve"> (jeśli dotyczy)</w:t>
      </w:r>
      <w:r w:rsidR="00FA5A1E">
        <w:t>, projektu podstawowego,</w:t>
      </w:r>
      <w:r w:rsidR="00D1148A">
        <w:t xml:space="preserve"> projektu </w:t>
      </w:r>
      <w:r w:rsidR="00D1148A">
        <w:lastRenderedPageBreak/>
        <w:t>technicznego,</w:t>
      </w:r>
      <w:r w:rsidR="00FA5A1E">
        <w:t xml:space="preserve"> projektów wykonawczych</w:t>
      </w:r>
      <w:r w:rsidR="00F54541">
        <w:t xml:space="preserve"> </w:t>
      </w:r>
      <w:r w:rsidR="00FA5A1E">
        <w:t>i powykonawczych, dokumentacji techniczno-ruchowej, instrukcji eksploatacji, wytycznych do przeprowadzenia pomiarów gwarancyjnych, dokumentacji jakościowej)</w:t>
      </w:r>
      <w:r w:rsidR="004363BE">
        <w:t>,</w:t>
      </w:r>
    </w:p>
    <w:p w14:paraId="1205C2F2" w14:textId="123BC8ED" w:rsidR="00E82464" w:rsidRDefault="00E82464" w:rsidP="00556C5B">
      <w:pPr>
        <w:pStyle w:val="Akapitzlist"/>
        <w:numPr>
          <w:ilvl w:val="0"/>
          <w:numId w:val="9"/>
        </w:numPr>
        <w:ind w:left="426" w:hanging="426"/>
      </w:pPr>
      <w:r>
        <w:t>produkcji,</w:t>
      </w:r>
    </w:p>
    <w:p w14:paraId="6BE1A621" w14:textId="2329B4B2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d</w:t>
      </w:r>
      <w:r w:rsidR="00A1498E" w:rsidRPr="00A1498E">
        <w:t>ostaw</w:t>
      </w:r>
      <w:r w:rsidR="00FA5A1E">
        <w:t>,</w:t>
      </w:r>
    </w:p>
    <w:p w14:paraId="4AAF3D31" w14:textId="57B40AAD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p</w:t>
      </w:r>
      <w:r w:rsidR="00A1498E" w:rsidRPr="00A1498E">
        <w:t>rac budowlanych</w:t>
      </w:r>
      <w:r>
        <w:t>,</w:t>
      </w:r>
    </w:p>
    <w:p w14:paraId="3FCB6EB9" w14:textId="0E6250D5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p</w:t>
      </w:r>
      <w:r w:rsidR="00A1498E" w:rsidRPr="00A1498E">
        <w:t>rac montażowych</w:t>
      </w:r>
      <w:r>
        <w:t>,</w:t>
      </w:r>
    </w:p>
    <w:p w14:paraId="1BE8F7AA" w14:textId="4202289D" w:rsidR="00C44E31" w:rsidRDefault="00C44E31" w:rsidP="00556C5B">
      <w:pPr>
        <w:pStyle w:val="Akapitzlist"/>
        <w:numPr>
          <w:ilvl w:val="0"/>
          <w:numId w:val="9"/>
        </w:numPr>
        <w:ind w:left="426" w:hanging="426"/>
      </w:pPr>
      <w:r>
        <w:t>odbiorów,</w:t>
      </w:r>
    </w:p>
    <w:p w14:paraId="7A637496" w14:textId="37503AB5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s</w:t>
      </w:r>
      <w:r w:rsidR="00A1498E" w:rsidRPr="00A1498E">
        <w:t>zkoleni</w:t>
      </w:r>
      <w:r>
        <w:t>a</w:t>
      </w:r>
      <w:r w:rsidR="00A1498E" w:rsidRPr="00A1498E">
        <w:t xml:space="preserve"> personelu</w:t>
      </w:r>
      <w:r>
        <w:t>,</w:t>
      </w:r>
    </w:p>
    <w:p w14:paraId="547CA656" w14:textId="7DFD15D1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r</w:t>
      </w:r>
      <w:r w:rsidR="00A1498E" w:rsidRPr="00A1498E">
        <w:t xml:space="preserve">ozruchu, ruchu </w:t>
      </w:r>
      <w:r>
        <w:t>regulacyjnego, przekazania do użytkowani</w:t>
      </w:r>
      <w:r w:rsidR="0010517A">
        <w:t>a</w:t>
      </w:r>
      <w:r>
        <w:t xml:space="preserve"> i p</w:t>
      </w:r>
      <w:r w:rsidR="00A1498E" w:rsidRPr="00A1498E">
        <w:t>rze</w:t>
      </w:r>
      <w:r w:rsidR="00E82464">
        <w:t xml:space="preserve">jęcia </w:t>
      </w:r>
      <w:r w:rsidR="00A1498E" w:rsidRPr="00A1498E">
        <w:t>do eksploatacji</w:t>
      </w:r>
      <w:r>
        <w:t>,</w:t>
      </w:r>
    </w:p>
    <w:p w14:paraId="7DB5A159" w14:textId="3A53382B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p</w:t>
      </w:r>
      <w:r w:rsidR="00A1498E" w:rsidRPr="00A1498E">
        <w:t>omiarów gwarancyjnych.</w:t>
      </w:r>
    </w:p>
    <w:p w14:paraId="3BFBC3A6" w14:textId="77777777" w:rsidR="00A1498E" w:rsidRPr="00A1498E" w:rsidRDefault="00A1498E" w:rsidP="00A1498E">
      <w:pPr>
        <w:rPr>
          <w:rFonts w:cs="Arial"/>
        </w:rPr>
      </w:pPr>
    </w:p>
    <w:p w14:paraId="7AC1ED89" w14:textId="6BF34728" w:rsidR="00680E2D" w:rsidRDefault="00C81C06" w:rsidP="00680E2D">
      <w:pPr>
        <w:rPr>
          <w:rFonts w:cs="Arial"/>
        </w:rPr>
      </w:pPr>
      <w:r>
        <w:rPr>
          <w:rFonts w:cs="Arial"/>
        </w:rPr>
        <w:t>Zamawiający w dowolnym czasie trwania Umowy może zażądać od Wykonawcy przekazania uaktualnionej</w:t>
      </w:r>
      <w:r w:rsidR="00F06B72">
        <w:rPr>
          <w:rFonts w:cs="Arial"/>
        </w:rPr>
        <w:t>/zrewidowanej</w:t>
      </w:r>
      <w:r>
        <w:rPr>
          <w:rFonts w:cs="Arial"/>
        </w:rPr>
        <w:t xml:space="preserve"> wersji HRU w tym zażądać </w:t>
      </w:r>
      <w:r w:rsidR="00F06B72">
        <w:rPr>
          <w:rFonts w:cs="Arial"/>
        </w:rPr>
        <w:t xml:space="preserve">uszczegółowienia harmonogramu, tak aby harmonogram przedstawiał </w:t>
      </w:r>
      <w:r w:rsidR="007B3EA1" w:rsidRPr="007B3EA1">
        <w:rPr>
          <w:rFonts w:cs="Arial"/>
        </w:rPr>
        <w:t>wszystkie czynności Wykonawcy, których czas trwania wynosi minimum 5 (pięć) Dni Roboczych</w:t>
      </w:r>
      <w:r w:rsidR="007B3EA1">
        <w:rPr>
          <w:rFonts w:cs="Arial"/>
        </w:rPr>
        <w:t>.</w:t>
      </w:r>
      <w:r w:rsidR="000E022F">
        <w:rPr>
          <w:rFonts w:cs="Arial"/>
        </w:rPr>
        <w:t xml:space="preserve"> </w:t>
      </w:r>
      <w:r w:rsidR="00F06B72">
        <w:rPr>
          <w:rFonts w:cs="Arial"/>
        </w:rPr>
        <w:t>Każda rewizja HRU</w:t>
      </w:r>
      <w:r w:rsidR="000E022F">
        <w:rPr>
          <w:rFonts w:cs="Arial"/>
        </w:rPr>
        <w:t xml:space="preserve"> zostanie uzgodnion</w:t>
      </w:r>
      <w:r w:rsidR="00F06B72">
        <w:rPr>
          <w:rFonts w:cs="Arial"/>
        </w:rPr>
        <w:t>a</w:t>
      </w:r>
      <w:r w:rsidR="000E022F">
        <w:rPr>
          <w:rFonts w:cs="Arial"/>
        </w:rPr>
        <w:t xml:space="preserve"> z Zamawiającym. </w:t>
      </w:r>
    </w:p>
    <w:p w14:paraId="1024510F" w14:textId="5C46695D" w:rsidR="00F43520" w:rsidRDefault="00F43520" w:rsidP="00680E2D">
      <w:pPr>
        <w:rPr>
          <w:rFonts w:cs="Arial"/>
        </w:rPr>
      </w:pPr>
    </w:p>
    <w:p w14:paraId="58C1714D" w14:textId="389EC6EA" w:rsidR="00F43520" w:rsidRPr="00E01D5F" w:rsidRDefault="00F43520" w:rsidP="00F43520">
      <w:pPr>
        <w:rPr>
          <w:rFonts w:cs="Arial"/>
        </w:rPr>
      </w:pPr>
      <w:r w:rsidRPr="00A1498E">
        <w:rPr>
          <w:rFonts w:cs="Arial"/>
        </w:rPr>
        <w:t xml:space="preserve">Harmonogram </w:t>
      </w:r>
      <w:r w:rsidR="000B01FB">
        <w:rPr>
          <w:rFonts w:cs="Arial"/>
        </w:rPr>
        <w:t>zawierać będzie</w:t>
      </w:r>
      <w:r w:rsidRPr="00A1498E">
        <w:rPr>
          <w:rFonts w:cs="Arial"/>
        </w:rPr>
        <w:t xml:space="preserve"> wszystkie powiązania logiczne zgodnie </w:t>
      </w:r>
      <w:r w:rsidR="000B01FB">
        <w:rPr>
          <w:rFonts w:cs="Arial"/>
        </w:rPr>
        <w:br/>
      </w:r>
      <w:r w:rsidRPr="00A1498E">
        <w:rPr>
          <w:rFonts w:cs="Arial"/>
        </w:rPr>
        <w:t>z wymaganiami Zamawiającego</w:t>
      </w:r>
      <w:r>
        <w:rPr>
          <w:rFonts w:cs="Arial"/>
        </w:rPr>
        <w:t xml:space="preserve"> oraz będzie </w:t>
      </w:r>
      <w:r w:rsidRPr="00A1498E">
        <w:rPr>
          <w:rFonts w:cs="Arial"/>
        </w:rPr>
        <w:t xml:space="preserve">sporządzony w </w:t>
      </w:r>
      <w:r w:rsidRPr="00CF18CF">
        <w:rPr>
          <w:rFonts w:cs="Arial"/>
        </w:rPr>
        <w:t xml:space="preserve">programie Microsoft Project </w:t>
      </w:r>
      <w:r w:rsidR="000B01FB" w:rsidRPr="00CF18CF">
        <w:rPr>
          <w:rFonts w:cs="Arial"/>
        </w:rPr>
        <w:br/>
      </w:r>
      <w:r w:rsidRPr="00E01D5F">
        <w:rPr>
          <w:rFonts w:cs="Arial"/>
        </w:rPr>
        <w:t>i dodatkowo w formacie PDF.</w:t>
      </w:r>
      <w:r w:rsidR="00F06B72" w:rsidRPr="00E01D5F">
        <w:t xml:space="preserve"> </w:t>
      </w:r>
      <w:r w:rsidR="00F06B72" w:rsidRPr="00E01D5F">
        <w:rPr>
          <w:rFonts w:cs="Arial"/>
        </w:rPr>
        <w:t xml:space="preserve">Wykonawca ponosi pełną odpowiedzialność za prawidłowe wykonanie logiki połączeń. </w:t>
      </w:r>
    </w:p>
    <w:p w14:paraId="04721786" w14:textId="7D8ADE63" w:rsidR="000E022F" w:rsidRDefault="00F06B72" w:rsidP="00F43520">
      <w:pPr>
        <w:rPr>
          <w:rFonts w:cs="Arial"/>
        </w:rPr>
      </w:pPr>
      <w:r w:rsidRPr="00E01D5F">
        <w:rPr>
          <w:rFonts w:cs="Arial"/>
        </w:rPr>
        <w:t>Każda rewizja HRU zmieniająca termin</w:t>
      </w:r>
      <w:r w:rsidR="009F61ED" w:rsidRPr="009F61ED">
        <w:rPr>
          <w:rFonts w:cs="Arial"/>
        </w:rPr>
        <w:t xml:space="preserve">, </w:t>
      </w:r>
      <w:r w:rsidR="00171346">
        <w:rPr>
          <w:rFonts w:cs="Arial"/>
        </w:rPr>
        <w:t>p</w:t>
      </w:r>
      <w:r w:rsidRPr="00E01D5F">
        <w:rPr>
          <w:rFonts w:cs="Arial"/>
        </w:rPr>
        <w:t xml:space="preserve">rzekazania do eksploatacji </w:t>
      </w:r>
      <w:bookmarkStart w:id="0" w:name="_Hlk109661149"/>
      <w:r w:rsidRPr="00E01D5F">
        <w:rPr>
          <w:rFonts w:cs="Arial"/>
        </w:rPr>
        <w:t xml:space="preserve">oraz kluczowych terminów wskazanych w </w:t>
      </w:r>
      <w:bookmarkEnd w:id="0"/>
      <w:r w:rsidR="0095214F">
        <w:rPr>
          <w:rFonts w:cs="Arial"/>
        </w:rPr>
        <w:t>Umowie</w:t>
      </w:r>
      <w:r>
        <w:rPr>
          <w:rFonts w:cs="Arial"/>
        </w:rPr>
        <w:t xml:space="preserve"> wy</w:t>
      </w:r>
      <w:r w:rsidR="00886E58">
        <w:rPr>
          <w:rFonts w:cs="Arial"/>
        </w:rPr>
        <w:t xml:space="preserve">maga </w:t>
      </w:r>
      <w:r>
        <w:rPr>
          <w:rFonts w:cs="Arial"/>
        </w:rPr>
        <w:t xml:space="preserve">aneksu. </w:t>
      </w:r>
    </w:p>
    <w:p w14:paraId="10B6D53D" w14:textId="77777777" w:rsidR="00F06B72" w:rsidRDefault="00F06B72" w:rsidP="00F43520">
      <w:pPr>
        <w:rPr>
          <w:rFonts w:cs="Arial"/>
        </w:rPr>
      </w:pPr>
    </w:p>
    <w:p w14:paraId="1445087A" w14:textId="79673CAF" w:rsidR="00F43520" w:rsidRPr="00A1498E" w:rsidRDefault="00F43520" w:rsidP="00680E2D">
      <w:pPr>
        <w:rPr>
          <w:rFonts w:cs="Arial"/>
        </w:rPr>
      </w:pPr>
      <w:r>
        <w:rPr>
          <w:rFonts w:cs="Arial"/>
        </w:rPr>
        <w:t>Niezależnie od powyższego Zamawiający ma prawo w trakcie trwania umowy oczekiwać od Wykonawcy przygotowania szczegółowych informacji, harmonogramu odnośnie każdej pozycji wskazanej w HRU lub HRF.</w:t>
      </w:r>
    </w:p>
    <w:p w14:paraId="7AAA4A22" w14:textId="77777777" w:rsidR="00C30FCC" w:rsidRDefault="00C30FCC" w:rsidP="00C30FCC">
      <w:pPr>
        <w:rPr>
          <w:rFonts w:cs="Arial"/>
        </w:rPr>
      </w:pPr>
    </w:p>
    <w:p w14:paraId="1B608440" w14:textId="3E41CC8F" w:rsidR="00C30FCC" w:rsidRPr="00C30FCC" w:rsidRDefault="00C30FCC" w:rsidP="00C30FCC">
      <w:pPr>
        <w:rPr>
          <w:rFonts w:cs="Arial"/>
        </w:rPr>
      </w:pPr>
      <w:r w:rsidRPr="00C30FCC">
        <w:rPr>
          <w:rFonts w:cs="Arial"/>
        </w:rPr>
        <w:t xml:space="preserve">W przypadku stwierdzenia przez dowolną ze Stron opóźnienia w realizacji Umowy </w:t>
      </w:r>
      <w:r w:rsidR="00065BCD">
        <w:rPr>
          <w:rFonts w:cs="Arial"/>
        </w:rPr>
        <w:br/>
      </w:r>
      <w:r w:rsidRPr="00C30FCC">
        <w:rPr>
          <w:rFonts w:cs="Arial"/>
        </w:rPr>
        <w:t>(</w:t>
      </w:r>
      <w:r w:rsidR="00065BCD">
        <w:rPr>
          <w:rFonts w:cs="Arial"/>
        </w:rPr>
        <w:t xml:space="preserve">w szczególności w zakresie </w:t>
      </w:r>
      <w:r w:rsidRPr="00C30FCC">
        <w:rPr>
          <w:rFonts w:cs="Arial"/>
        </w:rPr>
        <w:t xml:space="preserve">opóźnienia w wykonaniu czynności leżącej na ścieżce krytycznej), Wykonawca będzie zobowiązany przedstawić Zamawiającemu </w:t>
      </w:r>
      <w:r w:rsidR="00A96212">
        <w:rPr>
          <w:rFonts w:cs="Arial"/>
        </w:rPr>
        <w:t>P</w:t>
      </w:r>
      <w:r w:rsidRPr="00C30FCC">
        <w:rPr>
          <w:rFonts w:cs="Arial"/>
        </w:rPr>
        <w:t>lan naprawczy</w:t>
      </w:r>
      <w:r>
        <w:rPr>
          <w:rFonts w:cs="Arial"/>
        </w:rPr>
        <w:t xml:space="preserve"> </w:t>
      </w:r>
      <w:r w:rsidR="00065BCD">
        <w:rPr>
          <w:rFonts w:cs="Arial"/>
        </w:rPr>
        <w:t xml:space="preserve">(opis działań jakie należy podjąć, aby  nadrobić istniejące opóźnienie) </w:t>
      </w:r>
      <w:r>
        <w:rPr>
          <w:rFonts w:cs="Arial"/>
        </w:rPr>
        <w:t>wraz z wyj</w:t>
      </w:r>
      <w:r w:rsidR="00065BCD">
        <w:rPr>
          <w:rFonts w:cs="Arial"/>
        </w:rPr>
        <w:t xml:space="preserve">aśnieniem powodów opóźnienia terminów realizacji poszczególnych pozycji HRU. </w:t>
      </w:r>
    </w:p>
    <w:p w14:paraId="3D7156B1" w14:textId="77777777" w:rsidR="00C30FCC" w:rsidRDefault="00C30FCC" w:rsidP="00C30FCC">
      <w:pPr>
        <w:rPr>
          <w:rFonts w:cs="Arial"/>
        </w:rPr>
      </w:pPr>
    </w:p>
    <w:p w14:paraId="02D42E5C" w14:textId="77777777" w:rsidR="00B130AE" w:rsidRPr="00A1498E" w:rsidRDefault="00B130AE" w:rsidP="00A1498E">
      <w:pPr>
        <w:rPr>
          <w:rFonts w:cs="Arial"/>
        </w:rPr>
      </w:pPr>
    </w:p>
    <w:p w14:paraId="2A45F169" w14:textId="77777777" w:rsidR="004A58AF" w:rsidRPr="00A1498E" w:rsidRDefault="004A58AF" w:rsidP="00A1498E">
      <w:pPr>
        <w:pStyle w:val="Akapitzlist"/>
        <w:ind w:left="0"/>
        <w:rPr>
          <w:rFonts w:cs="Arial"/>
        </w:rPr>
      </w:pPr>
    </w:p>
    <w:sectPr w:rsidR="004A58AF" w:rsidRPr="00A1498E" w:rsidSect="007B53A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BC603" w14:textId="77777777" w:rsidR="006C0A24" w:rsidRDefault="006C0A24" w:rsidP="003151AA">
      <w:pPr>
        <w:spacing w:line="240" w:lineRule="auto"/>
      </w:pPr>
      <w:r>
        <w:separator/>
      </w:r>
    </w:p>
  </w:endnote>
  <w:endnote w:type="continuationSeparator" w:id="0">
    <w:p w14:paraId="676FA4E4" w14:textId="77777777" w:rsidR="006C0A24" w:rsidRDefault="006C0A24" w:rsidP="00315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E2476" w14:textId="77777777" w:rsidR="006C0A24" w:rsidRDefault="006C0A24" w:rsidP="003151AA">
      <w:pPr>
        <w:spacing w:line="240" w:lineRule="auto"/>
      </w:pPr>
      <w:r>
        <w:separator/>
      </w:r>
    </w:p>
  </w:footnote>
  <w:footnote w:type="continuationSeparator" w:id="0">
    <w:p w14:paraId="4C128FEB" w14:textId="77777777" w:rsidR="006C0A24" w:rsidRDefault="006C0A24" w:rsidP="003151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359"/>
      <w:gridCol w:w="708"/>
    </w:tblGrid>
    <w:tr w:rsidR="00C81C06" w14:paraId="7F5CA641" w14:textId="77777777" w:rsidTr="00226E58">
      <w:trPr>
        <w:trHeight w:val="1411"/>
      </w:trPr>
      <w:tc>
        <w:tcPr>
          <w:tcW w:w="9067" w:type="dxa"/>
          <w:gridSpan w:val="2"/>
          <w:vAlign w:val="center"/>
        </w:tcPr>
        <w:tbl>
          <w:tblPr>
            <w:tblW w:w="891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917"/>
          </w:tblGrid>
          <w:tr w:rsidR="00226E58" w14:paraId="2B03522D" w14:textId="77777777" w:rsidTr="00226E58">
            <w:trPr>
              <w:trHeight w:val="1279"/>
            </w:trPr>
            <w:tc>
              <w:tcPr>
                <w:tcW w:w="8917" w:type="dxa"/>
                <w:vAlign w:val="center"/>
              </w:tcPr>
              <w:p w14:paraId="1A7C3B80" w14:textId="77777777" w:rsidR="00226E58" w:rsidRPr="003C0D8B" w:rsidRDefault="00226E58" w:rsidP="00226E58">
                <w:pPr>
                  <w:pStyle w:val="Nagwek"/>
                  <w:tabs>
                    <w:tab w:val="clear" w:pos="4536"/>
                    <w:tab w:val="clear" w:pos="9072"/>
                  </w:tabs>
                  <w:ind w:left="720"/>
                  <w:rPr>
                    <w:rFonts w:cs="Arial"/>
                    <w:b/>
                    <w:sz w:val="16"/>
                    <w:szCs w:val="16"/>
                  </w:rPr>
                </w:pPr>
                <w:r>
                  <w:rPr>
                    <w:rFonts w:ascii="Trebuchet MS" w:hAnsi="Trebuchet MS"/>
                    <w:noProof/>
                    <w:color w:val="000000"/>
                    <w:lang w:eastAsia="pl-PL"/>
                  </w:rPr>
                  <w:drawing>
                    <wp:inline distT="0" distB="0" distL="0" distR="0" wp14:anchorId="2935B308" wp14:editId="6355069D">
                      <wp:extent cx="5668645" cy="696595"/>
                      <wp:effectExtent l="0" t="0" r="8255" b="8255"/>
                      <wp:docPr id="1937317859" name="Obraz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68645" cy="696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09EB76B5" w14:textId="77777777" w:rsidR="00226E58" w:rsidRDefault="00226E58" w:rsidP="00226E58">
          <w:pPr>
            <w:pStyle w:val="Stopka"/>
          </w:pPr>
          <w:r>
            <w:tab/>
          </w:r>
        </w:p>
        <w:p w14:paraId="702610BA" w14:textId="44DEA0AC" w:rsidR="00C81C06" w:rsidRPr="003C0D8B" w:rsidRDefault="00C81C06" w:rsidP="00C81C06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6"/>
              <w:szCs w:val="16"/>
            </w:rPr>
          </w:pPr>
        </w:p>
      </w:tc>
    </w:tr>
    <w:tr w:rsidR="00C81C06" w14:paraId="75F40B5F" w14:textId="77777777" w:rsidTr="007C3F27">
      <w:trPr>
        <w:trHeight w:val="825"/>
      </w:trPr>
      <w:tc>
        <w:tcPr>
          <w:tcW w:w="8359" w:type="dxa"/>
          <w:vAlign w:val="center"/>
        </w:tcPr>
        <w:p w14:paraId="620021A8" w14:textId="77777777" w:rsidR="00226E58" w:rsidRDefault="00226E58" w:rsidP="00226E58">
          <w:pPr>
            <w:jc w:val="center"/>
            <w:rPr>
              <w:rFonts w:ascii="Franklin Gothic Book" w:hAnsi="Franklin Gothic Book" w:cs="Arial"/>
            </w:rPr>
          </w:pPr>
          <w:r w:rsidRPr="0014724C">
            <w:rPr>
              <w:rFonts w:ascii="Franklin Gothic Book" w:hAnsi="Franklin Gothic Book" w:cs="Arial"/>
            </w:rPr>
            <w:t xml:space="preserve">„Budowa Wiaty Wysokiego Składowania nr 1 wraz z infrastrukturą towarzyszącą, </w:t>
          </w:r>
          <w:r>
            <w:rPr>
              <w:rFonts w:ascii="Franklin Gothic Book" w:hAnsi="Franklin Gothic Book" w:cs="Arial"/>
            </w:rPr>
            <w:br/>
          </w:r>
          <w:r w:rsidRPr="0014724C">
            <w:rPr>
              <w:rFonts w:ascii="Franklin Gothic Book" w:hAnsi="Franklin Gothic Book" w:cs="Arial"/>
            </w:rPr>
            <w:t>na potrzeby rozładunku</w:t>
          </w:r>
          <w:r>
            <w:rPr>
              <w:rFonts w:ascii="Franklin Gothic Book" w:hAnsi="Franklin Gothic Book" w:cs="Arial"/>
            </w:rPr>
            <w:t>,</w:t>
          </w:r>
          <w:r w:rsidRPr="0014724C">
            <w:rPr>
              <w:rFonts w:ascii="Franklin Gothic Book" w:hAnsi="Franklin Gothic Book" w:cs="Arial"/>
            </w:rPr>
            <w:t xml:space="preserve"> magazynowania i podawania biomasy do bloków</w:t>
          </w:r>
          <w:r>
            <w:rPr>
              <w:rFonts w:ascii="Franklin Gothic Book" w:hAnsi="Franklin Gothic Book" w:cs="Arial"/>
            </w:rPr>
            <w:t xml:space="preserve"> </w:t>
          </w:r>
          <w:r>
            <w:rPr>
              <w:rFonts w:ascii="Franklin Gothic Book" w:hAnsi="Franklin Gothic Book" w:cs="Arial"/>
            </w:rPr>
            <w:br/>
          </w:r>
          <w:r w:rsidRPr="0014724C">
            <w:rPr>
              <w:rFonts w:ascii="Franklin Gothic Book" w:hAnsi="Franklin Gothic Book" w:cs="Arial"/>
            </w:rPr>
            <w:t>energetycznych 2-7</w:t>
          </w:r>
          <w:r>
            <w:rPr>
              <w:rFonts w:ascii="Franklin Gothic Book" w:hAnsi="Franklin Gothic Book" w:cs="Arial"/>
            </w:rPr>
            <w:t>,</w:t>
          </w:r>
          <w:r w:rsidRPr="0014724C">
            <w:rPr>
              <w:rFonts w:ascii="Franklin Gothic Book" w:hAnsi="Franklin Gothic Book" w:cs="Arial"/>
            </w:rPr>
            <w:t xml:space="preserve"> w Enea Elektrownia Połaniec S.A.”</w:t>
          </w:r>
        </w:p>
        <w:p w14:paraId="112B354C" w14:textId="1D273B3F" w:rsidR="00C81C06" w:rsidRPr="006C422B" w:rsidRDefault="00226E58" w:rsidP="00C81C06">
          <w:pPr>
            <w:jc w:val="center"/>
            <w:rPr>
              <w:rFonts w:cs="Arial"/>
              <w:b/>
            </w:rPr>
          </w:pPr>
          <w:r w:rsidRPr="00D35747">
            <w:rPr>
              <w:rFonts w:cs="Arial"/>
            </w:rPr>
            <w:t xml:space="preserve"> ETAP 1</w:t>
          </w:r>
        </w:p>
      </w:tc>
      <w:tc>
        <w:tcPr>
          <w:tcW w:w="708" w:type="dxa"/>
          <w:vAlign w:val="center"/>
        </w:tcPr>
        <w:p w14:paraId="41A87096" w14:textId="0F04B3C4" w:rsidR="00C81C06" w:rsidRPr="00306EAE" w:rsidRDefault="00C81C06" w:rsidP="00C81C06">
          <w:pPr>
            <w:pStyle w:val="Nagwek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6"/>
              <w:szCs w:val="16"/>
            </w:rPr>
          </w:pPr>
          <w:r w:rsidRPr="00306EAE">
            <w:rPr>
              <w:rFonts w:cs="Arial"/>
              <w:sz w:val="16"/>
              <w:szCs w:val="16"/>
            </w:rPr>
            <w:t xml:space="preserve">str. </w:t>
          </w:r>
          <w:r w:rsidRPr="00306EAE">
            <w:rPr>
              <w:rFonts w:cs="Arial"/>
              <w:b/>
              <w:sz w:val="16"/>
              <w:szCs w:val="16"/>
            </w:rPr>
            <w:fldChar w:fldCharType="begin"/>
          </w:r>
          <w:r w:rsidRPr="003C0D8B">
            <w:rPr>
              <w:rFonts w:cs="Arial"/>
              <w:sz w:val="16"/>
              <w:szCs w:val="16"/>
            </w:rPr>
            <w:instrText>PAGE    \* MERGEFORMAT</w:instrText>
          </w:r>
          <w:r w:rsidRPr="00306EAE">
            <w:rPr>
              <w:rFonts w:cs="Arial"/>
              <w:b/>
              <w:sz w:val="16"/>
              <w:szCs w:val="16"/>
            </w:rPr>
            <w:fldChar w:fldCharType="separate"/>
          </w:r>
          <w:r w:rsidR="00C44E31">
            <w:rPr>
              <w:rFonts w:cs="Arial"/>
              <w:noProof/>
              <w:sz w:val="16"/>
              <w:szCs w:val="16"/>
            </w:rPr>
            <w:t>3</w:t>
          </w:r>
          <w:r w:rsidRPr="00306EAE">
            <w:rPr>
              <w:rFonts w:cs="Arial"/>
              <w:b/>
              <w:sz w:val="16"/>
              <w:szCs w:val="16"/>
            </w:rPr>
            <w:fldChar w:fldCharType="end"/>
          </w:r>
        </w:p>
      </w:tc>
    </w:tr>
  </w:tbl>
  <w:p w14:paraId="560B2791" w14:textId="77777777" w:rsidR="004A58AF" w:rsidRDefault="004A58AF" w:rsidP="007B53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2F55"/>
    <w:multiLevelType w:val="hybridMultilevel"/>
    <w:tmpl w:val="059C7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774D16"/>
    <w:multiLevelType w:val="hybridMultilevel"/>
    <w:tmpl w:val="B06C8D0A"/>
    <w:lvl w:ilvl="0" w:tplc="018003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82484"/>
    <w:multiLevelType w:val="hybridMultilevel"/>
    <w:tmpl w:val="C816A6A4"/>
    <w:lvl w:ilvl="0" w:tplc="9BFEE54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25616"/>
    <w:multiLevelType w:val="hybridMultilevel"/>
    <w:tmpl w:val="51A4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A0DEA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B7580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E1F99"/>
    <w:multiLevelType w:val="hybridMultilevel"/>
    <w:tmpl w:val="F0F2F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D12AE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3F01D4"/>
    <w:multiLevelType w:val="hybridMultilevel"/>
    <w:tmpl w:val="955A3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22D50"/>
    <w:multiLevelType w:val="hybridMultilevel"/>
    <w:tmpl w:val="3DAEC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539B8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064239">
    <w:abstractNumId w:val="9"/>
  </w:num>
  <w:num w:numId="2" w16cid:durableId="1642299013">
    <w:abstractNumId w:val="3"/>
  </w:num>
  <w:num w:numId="3" w16cid:durableId="1413158533">
    <w:abstractNumId w:val="0"/>
  </w:num>
  <w:num w:numId="4" w16cid:durableId="1305550357">
    <w:abstractNumId w:val="8"/>
  </w:num>
  <w:num w:numId="5" w16cid:durableId="1304964154">
    <w:abstractNumId w:val="2"/>
  </w:num>
  <w:num w:numId="6" w16cid:durableId="1111585276">
    <w:abstractNumId w:val="1"/>
  </w:num>
  <w:num w:numId="7" w16cid:durableId="2059234933">
    <w:abstractNumId w:val="7"/>
  </w:num>
  <w:num w:numId="8" w16cid:durableId="1261135072">
    <w:abstractNumId w:val="6"/>
  </w:num>
  <w:num w:numId="9" w16cid:durableId="2026444605">
    <w:abstractNumId w:val="4"/>
  </w:num>
  <w:num w:numId="10" w16cid:durableId="17314353">
    <w:abstractNumId w:val="10"/>
  </w:num>
  <w:num w:numId="11" w16cid:durableId="4223430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1AA"/>
    <w:rsid w:val="00016D62"/>
    <w:rsid w:val="00033228"/>
    <w:rsid w:val="00065BCD"/>
    <w:rsid w:val="000747EA"/>
    <w:rsid w:val="000865E0"/>
    <w:rsid w:val="00092BD1"/>
    <w:rsid w:val="000933A0"/>
    <w:rsid w:val="0009453C"/>
    <w:rsid w:val="000A59C5"/>
    <w:rsid w:val="000A5BFA"/>
    <w:rsid w:val="000B01FB"/>
    <w:rsid w:val="000C2E4D"/>
    <w:rsid w:val="000E022F"/>
    <w:rsid w:val="00103F08"/>
    <w:rsid w:val="0010517A"/>
    <w:rsid w:val="001112C5"/>
    <w:rsid w:val="00121170"/>
    <w:rsid w:val="00142D14"/>
    <w:rsid w:val="001705C0"/>
    <w:rsid w:val="00171346"/>
    <w:rsid w:val="001B35D9"/>
    <w:rsid w:val="001C67B3"/>
    <w:rsid w:val="001F37C9"/>
    <w:rsid w:val="00225178"/>
    <w:rsid w:val="00226E58"/>
    <w:rsid w:val="00250A17"/>
    <w:rsid w:val="00260CC3"/>
    <w:rsid w:val="002A63EE"/>
    <w:rsid w:val="002A6A64"/>
    <w:rsid w:val="002A7A17"/>
    <w:rsid w:val="002B24E4"/>
    <w:rsid w:val="002C39BB"/>
    <w:rsid w:val="002D317E"/>
    <w:rsid w:val="002F6DD3"/>
    <w:rsid w:val="002F774F"/>
    <w:rsid w:val="003038FE"/>
    <w:rsid w:val="003151AA"/>
    <w:rsid w:val="00316951"/>
    <w:rsid w:val="00354DC4"/>
    <w:rsid w:val="0036492C"/>
    <w:rsid w:val="003A55F7"/>
    <w:rsid w:val="004159AE"/>
    <w:rsid w:val="004363BE"/>
    <w:rsid w:val="00441F2C"/>
    <w:rsid w:val="0046418A"/>
    <w:rsid w:val="00475935"/>
    <w:rsid w:val="00481EDE"/>
    <w:rsid w:val="00484F92"/>
    <w:rsid w:val="004907D6"/>
    <w:rsid w:val="004A58AF"/>
    <w:rsid w:val="004C6C09"/>
    <w:rsid w:val="004D140F"/>
    <w:rsid w:val="004D5813"/>
    <w:rsid w:val="00533656"/>
    <w:rsid w:val="00556C5B"/>
    <w:rsid w:val="005B40BB"/>
    <w:rsid w:val="005B5E58"/>
    <w:rsid w:val="005D32C1"/>
    <w:rsid w:val="005D5436"/>
    <w:rsid w:val="006246C9"/>
    <w:rsid w:val="0064486A"/>
    <w:rsid w:val="00655B9E"/>
    <w:rsid w:val="0065700B"/>
    <w:rsid w:val="00657F67"/>
    <w:rsid w:val="0066594B"/>
    <w:rsid w:val="00666003"/>
    <w:rsid w:val="00680E2D"/>
    <w:rsid w:val="006839FC"/>
    <w:rsid w:val="006C0A24"/>
    <w:rsid w:val="006C3970"/>
    <w:rsid w:val="0070646A"/>
    <w:rsid w:val="00721374"/>
    <w:rsid w:val="00722C35"/>
    <w:rsid w:val="0072792A"/>
    <w:rsid w:val="007661EA"/>
    <w:rsid w:val="007848B2"/>
    <w:rsid w:val="00790914"/>
    <w:rsid w:val="007B3EA1"/>
    <w:rsid w:val="007B53A8"/>
    <w:rsid w:val="00851632"/>
    <w:rsid w:val="00872FF6"/>
    <w:rsid w:val="008868EE"/>
    <w:rsid w:val="00886E58"/>
    <w:rsid w:val="00897F22"/>
    <w:rsid w:val="008F4010"/>
    <w:rsid w:val="00910BA3"/>
    <w:rsid w:val="0095214F"/>
    <w:rsid w:val="00955EB5"/>
    <w:rsid w:val="00957703"/>
    <w:rsid w:val="00972E6C"/>
    <w:rsid w:val="00974D88"/>
    <w:rsid w:val="009A2FA1"/>
    <w:rsid w:val="009A31BF"/>
    <w:rsid w:val="009C552E"/>
    <w:rsid w:val="009E23B6"/>
    <w:rsid w:val="009F61ED"/>
    <w:rsid w:val="00A01DE3"/>
    <w:rsid w:val="00A06DBA"/>
    <w:rsid w:val="00A1498E"/>
    <w:rsid w:val="00A27781"/>
    <w:rsid w:val="00A66710"/>
    <w:rsid w:val="00A96212"/>
    <w:rsid w:val="00A97A7F"/>
    <w:rsid w:val="00AA6DBC"/>
    <w:rsid w:val="00AD19FB"/>
    <w:rsid w:val="00AD210B"/>
    <w:rsid w:val="00AE15FE"/>
    <w:rsid w:val="00B130AE"/>
    <w:rsid w:val="00B32DA0"/>
    <w:rsid w:val="00B662BA"/>
    <w:rsid w:val="00B97F7F"/>
    <w:rsid w:val="00BB71CE"/>
    <w:rsid w:val="00BC0453"/>
    <w:rsid w:val="00BD2268"/>
    <w:rsid w:val="00BE2E9F"/>
    <w:rsid w:val="00C04EFE"/>
    <w:rsid w:val="00C2380B"/>
    <w:rsid w:val="00C2797C"/>
    <w:rsid w:val="00C30FCC"/>
    <w:rsid w:val="00C35F4A"/>
    <w:rsid w:val="00C44E31"/>
    <w:rsid w:val="00C54F42"/>
    <w:rsid w:val="00C81C06"/>
    <w:rsid w:val="00C8527A"/>
    <w:rsid w:val="00CA649D"/>
    <w:rsid w:val="00CD6069"/>
    <w:rsid w:val="00CE229C"/>
    <w:rsid w:val="00CE7CA8"/>
    <w:rsid w:val="00CF18CF"/>
    <w:rsid w:val="00D1148A"/>
    <w:rsid w:val="00D742F2"/>
    <w:rsid w:val="00DD0683"/>
    <w:rsid w:val="00DD28CE"/>
    <w:rsid w:val="00DE0F66"/>
    <w:rsid w:val="00DF2FF1"/>
    <w:rsid w:val="00E01D5F"/>
    <w:rsid w:val="00E259D0"/>
    <w:rsid w:val="00E645D1"/>
    <w:rsid w:val="00E82464"/>
    <w:rsid w:val="00E9078D"/>
    <w:rsid w:val="00EC35E1"/>
    <w:rsid w:val="00F014A4"/>
    <w:rsid w:val="00F06B72"/>
    <w:rsid w:val="00F34C99"/>
    <w:rsid w:val="00F418E7"/>
    <w:rsid w:val="00F43520"/>
    <w:rsid w:val="00F46149"/>
    <w:rsid w:val="00F54541"/>
    <w:rsid w:val="00F748F3"/>
    <w:rsid w:val="00F76787"/>
    <w:rsid w:val="00FA5A1E"/>
    <w:rsid w:val="00FC7478"/>
    <w:rsid w:val="00FD6778"/>
    <w:rsid w:val="00FE19A1"/>
    <w:rsid w:val="00FF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59657"/>
  <w15:chartTrackingRefBased/>
  <w15:docId w15:val="{C87D082D-B32E-461E-8122-F5349179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5E1"/>
    <w:pPr>
      <w:spacing w:after="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1,Header11,Header12,Header13,Header14,Header15,Header16,Header17,Header18,Header111,Header121,Header131,Header141,Header151,Header161,Header171,Header19,Header112,Header122,Header132,Header142,Header152,Header162,Header172,Nagłówek strony"/>
    <w:basedOn w:val="Normalny"/>
    <w:link w:val="NagwekZnak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1 Znak,Header11 Znak,Header12 Znak,Header13 Znak,Header14 Znak,Header15 Znak,Header16 Znak,Header17 Znak,Header18 Znak,Header111 Znak,Header121 Znak,Header131 Znak,Header141 Znak,Header151 Znak,Header161 Znak,Header171 Znak"/>
    <w:basedOn w:val="Domylnaczcionkaakapitu"/>
    <w:link w:val="Nagwek"/>
    <w:rsid w:val="003151AA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3151AA"/>
    <w:rPr>
      <w:rFonts w:ascii="Arial" w:hAnsi="Arial"/>
    </w:rPr>
  </w:style>
  <w:style w:type="character" w:customStyle="1" w:styleId="Normalny-podstZnak">
    <w:name w:val="Normalny-podst Znak"/>
    <w:basedOn w:val="Domylnaczcionkaakapitu"/>
    <w:link w:val="Normalny-podst"/>
    <w:locked/>
    <w:rsid w:val="00260CC3"/>
    <w:rPr>
      <w:rFonts w:ascii="Arial" w:hAnsi="Arial" w:cs="Arial"/>
    </w:rPr>
  </w:style>
  <w:style w:type="paragraph" w:customStyle="1" w:styleId="Normalny-podst">
    <w:name w:val="Normalny-podst"/>
    <w:basedOn w:val="Normalny"/>
    <w:link w:val="Normalny-podstZnak"/>
    <w:rsid w:val="00260CC3"/>
    <w:pPr>
      <w:spacing w:line="360" w:lineRule="auto"/>
    </w:pPr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260C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250A17"/>
    <w:pPr>
      <w:ind w:left="720"/>
      <w:contextualSpacing/>
    </w:pPr>
  </w:style>
  <w:style w:type="table" w:styleId="Tabela-Siatka">
    <w:name w:val="Table Grid"/>
    <w:basedOn w:val="Standardowy"/>
    <w:uiPriority w:val="39"/>
    <w:rsid w:val="004A5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06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68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59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59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594B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9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94B"/>
    <w:rPr>
      <w:rFonts w:ascii="Arial" w:hAnsi="Arial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352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3520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3520"/>
    <w:rPr>
      <w:vertAlign w:val="superscript"/>
    </w:rPr>
  </w:style>
  <w:style w:type="paragraph" w:styleId="Poprawka">
    <w:name w:val="Revision"/>
    <w:hidden/>
    <w:uiPriority w:val="99"/>
    <w:semiHidden/>
    <w:rsid w:val="00171346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2B6F.CF9E8B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e561ae-e829-48e1-b409-0d9149af9142" xsi:nil="true"/>
    <lcf76f155ced4ddcb4097134ff3c332f xmlns="c7b13a21-8aa4-4289-87e9-21062e4f449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8741E13E73F4499CC526F9CF873D75" ma:contentTypeVersion="11" ma:contentTypeDescription="Utwórz nowy dokument." ma:contentTypeScope="" ma:versionID="d38af0cb9ede8702b410ebd1a2325494">
  <xsd:schema xmlns:xsd="http://www.w3.org/2001/XMLSchema" xmlns:xs="http://www.w3.org/2001/XMLSchema" xmlns:p="http://schemas.microsoft.com/office/2006/metadata/properties" xmlns:ns2="c7b13a21-8aa4-4289-87e9-21062e4f4492" xmlns:ns3="55e561ae-e829-48e1-b409-0d9149af9142" targetNamespace="http://schemas.microsoft.com/office/2006/metadata/properties" ma:root="true" ma:fieldsID="afedf31347e8a6c890f95b15042e47d4" ns2:_="" ns3:_="">
    <xsd:import namespace="c7b13a21-8aa4-4289-87e9-21062e4f4492"/>
    <xsd:import namespace="55e561ae-e829-48e1-b409-0d9149af91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13a21-8aa4-4289-87e9-21062e4f44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a6e54fd-e2c4-4252-8e9b-61c1e98381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61ae-e829-48e1-b409-0d9149af914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a0a561-19e2-42c9-b4ab-db8c860b7fb9}" ma:internalName="TaxCatchAll" ma:showField="CatchAllData" ma:web="55e561ae-e829-48e1-b409-0d9149af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55A82F-8BE2-40BA-A398-0F08AAA61760}">
  <ds:schemaRefs>
    <ds:schemaRef ds:uri="http://purl.org/dc/terms/"/>
    <ds:schemaRef ds:uri="c7b13a21-8aa4-4289-87e9-21062e4f4492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55e561ae-e829-48e1-b409-0d9149af914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75CCC8-7FA8-4A43-BBE6-98480AA280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DE9294-E1A2-463C-8E31-F367E9AC8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13a21-8aa4-4289-87e9-21062e4f4492"/>
    <ds:schemaRef ds:uri="55e561ae-e829-48e1-b409-0d9149af91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2268F8-C263-42BD-B551-AC660E1798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Skowron Wiktor</dc:creator>
  <cp:keywords/>
  <dc:description/>
  <cp:lastModifiedBy>Skowron Wiktor</cp:lastModifiedBy>
  <cp:revision>2</cp:revision>
  <dcterms:created xsi:type="dcterms:W3CDTF">2024-12-10T12:01:00Z</dcterms:created>
  <dcterms:modified xsi:type="dcterms:W3CDTF">2024-12-10T12:01:00Z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0x0101006C8741E13E73F4499CC526F9CF873D75</vt:lpwstr>
  </property>
  <property fmtid="{D5CDD505-2E9C-101B-9397-08002B2CF9AE}" pid="3" name="MediaServiceImageTags">
    <vt:lpwstr/>
  </property>
</Properties>
</file>